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0"/>
          <w:sz w:val="14"/>
          <w:szCs w:val="14"/>
          <w:vertAlign w:val="baseline"/>
        </w:rPr>
      </w:pPr>
      <w:r w:rsidDel="00000000" w:rsidR="00000000" w:rsidRPr="00000000">
        <w:rPr>
          <w:rtl w:val="0"/>
        </w:rPr>
      </w:r>
    </w:p>
    <w:p w:rsidR="00000000" w:rsidDel="00000000" w:rsidP="00000000" w:rsidRDefault="00000000" w:rsidRPr="00000000" w14:paraId="00000002">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II. GIMNAZIJA OSIJEK                                                                                                                          </w:t>
      </w:r>
      <w:r w:rsidDel="00000000" w:rsidR="00000000" w:rsidRPr="00000000">
        <w:rPr>
          <w:rtl w:val="0"/>
        </w:rPr>
      </w:r>
    </w:p>
    <w:p w:rsidR="00000000" w:rsidDel="00000000" w:rsidP="00000000" w:rsidRDefault="00000000" w:rsidRPr="00000000" w14:paraId="000000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KAMILA FIRINGERA 14</w:t>
      </w:r>
      <w:r w:rsidDel="00000000" w:rsidR="00000000" w:rsidRPr="00000000">
        <w:rPr>
          <w:rtl w:val="0"/>
        </w:rPr>
      </w:r>
    </w:p>
    <w:p w:rsidR="00000000" w:rsidDel="00000000" w:rsidP="00000000" w:rsidRDefault="00000000" w:rsidRPr="00000000" w14:paraId="0000000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31000 OSIJEK</w:t>
      </w:r>
      <w:r w:rsidDel="00000000" w:rsidR="00000000" w:rsidRPr="00000000">
        <w:rPr>
          <w:rtl w:val="0"/>
        </w:rPr>
      </w:r>
    </w:p>
    <w:p w:rsidR="00000000" w:rsidDel="00000000" w:rsidP="00000000" w:rsidRDefault="00000000" w:rsidRPr="00000000" w14:paraId="0000000B">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vertAlign w:val="baseline"/>
        </w:rPr>
      </w:pPr>
      <w:r w:rsidDel="00000000" w:rsidR="00000000" w:rsidRPr="00000000">
        <w:rPr>
          <w:rFonts w:ascii="Verdana" w:cs="Verdana" w:eastAsia="Verdana" w:hAnsi="Verdana"/>
          <w:sz w:val="14"/>
          <w:szCs w:val="14"/>
          <w:vertAlign w:val="baseline"/>
          <w:rtl w:val="0"/>
        </w:rPr>
        <w:tab/>
      </w:r>
      <w:r w:rsidDel="00000000" w:rsidR="00000000" w:rsidRPr="00000000">
        <w:rPr>
          <w:rFonts w:ascii="Calibri" w:cs="Calibri" w:eastAsia="Calibri" w:hAnsi="Calibri"/>
          <w:sz w:val="22"/>
          <w:szCs w:val="22"/>
          <w:vertAlign w:val="baseline"/>
          <w:rtl w:val="0"/>
        </w:rPr>
        <w:t xml:space="preserve">Poštovani,</w:t>
      </w:r>
    </w:p>
    <w:p w:rsidR="00000000" w:rsidDel="00000000" w:rsidP="00000000" w:rsidRDefault="00000000" w:rsidRPr="00000000" w14:paraId="00000010">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sukladno odluci o realizaciji višednevne izvanučioničke nastave za učenike III. gimnazije u Frankfurt – London – Pariz u terminu 18. -29. 07. 2020. prema Javnom pozivu škole 2 / 2019 / 2020., ovim putem dostavljamo Vam informacije vezano za  moguću odgodu termina planiranog datuma putovanja zbog širenja pandemije COVID-19.</w:t>
      </w:r>
    </w:p>
    <w:p w:rsidR="00000000" w:rsidDel="00000000" w:rsidP="00000000" w:rsidRDefault="00000000" w:rsidRPr="00000000" w14:paraId="00000011">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Prije svega želimo naglasiti kako u potpunosti razumijemo zabrinutost roditelja u ovoj situaciji i da ćemo kao Agencija učiniti sve kako bismo ovo putovanje realizirali kako smo prvotno svi zamislili. </w:t>
      </w:r>
    </w:p>
    <w:p w:rsidR="00000000" w:rsidDel="00000000" w:rsidP="00000000" w:rsidRDefault="00000000" w:rsidRPr="00000000" w14:paraId="00000012">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Kako se ova ekskurzija, kao i sva naša putovanja za učeničke eksurzije u London odvija u suradnji s agencijom iz Londona koja posreduje u obavljanju rezervacija trajekta, ulaznica te organizacije smještaja u obiteljima što zahtjeva prethodno plaćanje depozita radi osiguranja rezervacije mjesta i termina, veću svotu novca istoj smo uplatili odmah pri potvrdi putovanja. Također je novac prebačen i agenciji u Parizu za smještaj grupe u hotelu Ibis  Paris Porte D'Orleans 3*.</w:t>
      </w:r>
    </w:p>
    <w:p w:rsidR="00000000" w:rsidDel="00000000" w:rsidP="00000000" w:rsidRDefault="00000000" w:rsidRPr="00000000" w14:paraId="00000013">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Navedene agencije suglasne su da za sada sačekamo do početka 5. mjeseca i vidimo kako će se odvijati cjelokupna situacija te hoćemo li moći realizirati putovanje u 7. mjesecu ove godine.  Do svibnja ćemo svi biti pametniji i znati ćemo puno više hoće li se situacija smiriti i hoće li se životi vratiti u normalu.  Prije svega, nadamo se da će se virus povući u ova 3-4 mjeseca koja nam preostaju do putovanja i da ćemo moći obaviti putovanje kako smo planirali bez plaćanja penala spomenutim agencijama. Ukoliko se ne bude moglo putovati (ili bude postojao i najmanji mogući rizik za putovanje) u planiranome terminu 18. - 29. 07. 2020. agencije nam sugeriraju drugu opciju kako ne bismo ulazili u gubitke uslijed otkazivanja i storniranja putovanja. Tada bi se putovanje odgodilo za sljedeću godinu okvirno ovim terminima, ili bilo koji termin u dogovoru sa Školom – prema istim uvjetima.</w:t>
      </w:r>
    </w:p>
    <w:p w:rsidR="00000000" w:rsidDel="00000000" w:rsidP="00000000" w:rsidRDefault="00000000" w:rsidRPr="00000000" w14:paraId="00000014">
      <w:pPr>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Što se tiče trenutačnog otkaza putovanja i povrata uplaćenog novca, u ovome trenutku ne možemo vršiti povrat novca obzirom da smo veću svotu novca za ovu grupu već ranije uplatili vanjskim agentima. Ukoliko u svibnju dođe do otkazivanja putovanja, provjerit ćemo s agencijama kojim intenzitetom će nam vraćati novce i koji iznos će zadržati kao troškove otkazivanja putovanja. Najjednostavnije bi svakako bilo kompletan uplaćeni iznos prebaciti na drugi termin i onda ne bismo imali troškove storna putovanja, već bi nam se iznos priznao za novi termin koji odredimo, bez dodatnih troškova.</w:t>
      </w:r>
    </w:p>
    <w:p w:rsidR="00000000" w:rsidDel="00000000" w:rsidP="00000000" w:rsidRDefault="00000000" w:rsidRPr="00000000" w14:paraId="00000015">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Ipak se nadamo kako ćemo do 5. mjeseca znati puno više no sada, te isto tako predlažemo roditeljima da za sada stanu sa uplatama pa ćemo vidjeti što nam je činiti, a ukoliko putovanje odgodimo za iduću godinu roditeljima ćemo omogućiti da ostatak iznosa nastave uplaćivati sve do polaska na putovanje.</w:t>
      </w:r>
    </w:p>
    <w:p w:rsidR="00000000" w:rsidDel="00000000" w:rsidP="00000000" w:rsidRDefault="00000000" w:rsidRPr="00000000" w14:paraId="00000017">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Zahvaljujemo se na razumijevanju uz srdačan pozdrav,</w:t>
      </w:r>
    </w:p>
    <w:p w:rsidR="00000000" w:rsidDel="00000000" w:rsidP="00000000" w:rsidRDefault="00000000" w:rsidRPr="00000000" w14:paraId="00000018">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Za Ortran d.o.o.,</w:t>
      </w:r>
    </w:p>
    <w:p w:rsidR="00000000" w:rsidDel="00000000" w:rsidP="00000000" w:rsidRDefault="00000000" w:rsidRPr="00000000" w14:paraId="00000019">
      <w:pPr>
        <w:spacing w:after="160" w:line="259"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Marija Ivić</w:t>
      </w:r>
    </w:p>
    <w:p w:rsidR="00000000" w:rsidDel="00000000" w:rsidP="00000000" w:rsidRDefault="00000000" w:rsidRPr="00000000" w14:paraId="0000001A">
      <w:pPr>
        <w:tabs>
          <w:tab w:val="left" w:pos="1485"/>
        </w:tabs>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1B">
      <w:pPr>
        <w:tabs>
          <w:tab w:val="left" w:pos="1485"/>
        </w:tabs>
        <w:rPr>
          <w:rFonts w:ascii="Verdana" w:cs="Verdana" w:eastAsia="Verdana" w:hAnsi="Verdana"/>
          <w:sz w:val="14"/>
          <w:szCs w:val="14"/>
          <w:vertAlign w:val="baseline"/>
        </w:rPr>
      </w:pPr>
      <w:r w:rsidDel="00000000" w:rsidR="00000000" w:rsidRPr="00000000">
        <w:rPr>
          <w:rtl w:val="0"/>
        </w:rPr>
      </w:r>
    </w:p>
    <w:p w:rsidR="00000000" w:rsidDel="00000000" w:rsidP="00000000" w:rsidRDefault="00000000" w:rsidRPr="00000000" w14:paraId="0000001C">
      <w:pPr>
        <w:tabs>
          <w:tab w:val="left" w:pos="148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tabs>
          <w:tab w:val="left" w:pos="148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U Osijeku, 01. 04. 2020.</w:t>
      </w:r>
    </w:p>
    <w:sectPr>
      <w:headerReference r:id="rId6" w:type="default"/>
      <w:footerReference r:id="rId7" w:type="default"/>
      <w:pgSz w:h="16838" w:w="11906"/>
      <w:pgMar w:bottom="720" w:top="720" w:left="720" w:right="720" w:header="28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pos="4536"/>
        <w:tab w:val="right" w:pos="9072"/>
      </w:tabs>
      <w:rPr>
        <w:sz w:val="20"/>
        <w:szCs w:val="20"/>
        <w:vertAlign w:val="baseline"/>
      </w:rPr>
    </w:pPr>
    <w:r w:rsidDel="00000000" w:rsidR="00000000" w:rsidRPr="00000000">
      <w:rPr>
        <w:sz w:val="20"/>
        <w:szCs w:val="20"/>
        <w:vertAlign w:val="baseline"/>
      </w:rPr>
      <w:drawing>
        <wp:inline distB="0" distT="0" distL="114300" distR="114300">
          <wp:extent cx="6945630" cy="4191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94563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400685</wp:posOffset>
          </wp:positionH>
          <wp:positionV relativeFrom="paragraph">
            <wp:posOffset>0</wp:posOffset>
          </wp:positionV>
          <wp:extent cx="5634990" cy="9525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34990" cy="9525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1971675</wp:posOffset>
              </wp:positionH>
              <wp:positionV relativeFrom="paragraph">
                <wp:posOffset>102870</wp:posOffset>
              </wp:positionV>
              <wp:extent cx="4235450" cy="788670"/>
              <wp:wrapNone/>
              <wp:docPr id="1" name=""/>
              <a:graphic>
                <a:graphicData uri="http://schemas.microsoft.com/office/word/2010/wordprocessingShape">
                  <wps:wsp>
                    <wps:cNvSpPr txBox="1"/>
                    <wps:spPr>
                      <a:xfrm>
                        <a:off x="0" y="0"/>
                        <a:ext cx="4235450" cy="788670"/>
                      </a:xfrm>
                      <a:prstGeom prst="rect"/>
                      <a:solidFill>
                        <a:srgbClr val="FFFFFF"/>
                      </a:solidFill>
                      <a:ln cap="flat" cmpd="sng" w="9525" algn="ctr">
                        <a:solidFill>
                          <a:srgbClr val="FFFFFF"/>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b w:val="0"/>
                              <w:w w:val="100"/>
                              <w:position w:val="-1"/>
                              <w:sz w:val="20"/>
                              <w:szCs w:val="20"/>
                              <w:effect w:val="none"/>
                              <w:vertAlign w:val="baseline"/>
                              <w:cs w:val="0"/>
                              <w:em w:val="none"/>
                              <w:lang/>
                            </w:rPr>
                          </w:pPr>
                          <w:r w:rsidDel="000000-1" w:rsidR="000000-1" w:rsidRPr="000000-1">
                            <w:rPr>
                              <w:rFonts w:ascii="Tahoma" w:cs="Tahoma" w:hAnsi="Tahoma"/>
                              <w:b w:val="1"/>
                              <w:w w:val="100"/>
                              <w:position w:val="-1"/>
                              <w:sz w:val="20"/>
                              <w:szCs w:val="20"/>
                              <w:effect w:val="none"/>
                              <w:vertAlign w:val="baseline"/>
                              <w:cs w:val="0"/>
                              <w:em w:val="none"/>
                              <w:lang/>
                            </w:rPr>
                            <w:t>Putnička agencija i prijevoz putnika, Trg Sv. Križa 4, Orahovica</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w w:val="100"/>
                              <w:position w:val="-1"/>
                              <w:sz w:val="16"/>
                              <w:szCs w:val="16"/>
                              <w:effect w:val="none"/>
                              <w:vertAlign w:val="baseline"/>
                              <w:cs w:val="0"/>
                              <w:em w:val="none"/>
                              <w:lang/>
                            </w:rPr>
                          </w:pPr>
                          <w:r w:rsidDel="000000-1" w:rsidR="000000-1" w:rsidRPr="000000-1">
                            <w:rPr>
                              <w:rFonts w:ascii="Tahoma" w:cs="Tahoma" w:hAnsi="Tahoma"/>
                              <w:w w:val="100"/>
                              <w:position w:val="-1"/>
                              <w:sz w:val="16"/>
                              <w:szCs w:val="16"/>
                              <w:effect w:val="none"/>
                              <w:vertAlign w:val="baseline"/>
                              <w:cs w:val="0"/>
                              <w:em w:val="none"/>
                              <w:lang/>
                            </w:rPr>
                            <w:t>IBAN: HR6623860021119021346    ID.COD: HRAB33-010030214      OIB:49633399373</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b w:val="0"/>
                              <w:w w:val="100"/>
                              <w:position w:val="-1"/>
                              <w:sz w:val="20"/>
                              <w:szCs w:val="20"/>
                              <w:effect w:val="none"/>
                              <w:vertAlign w:val="baseline"/>
                              <w:cs w:val="0"/>
                              <w:em w:val="none"/>
                              <w:lang/>
                            </w:rPr>
                          </w:pPr>
                          <w:r w:rsidDel="000000-1" w:rsidR="000000-1" w:rsidRPr="000000-1">
                            <w:rPr>
                              <w:rFonts w:ascii="Tahoma" w:cs="Tahoma" w:hAnsi="Tahoma"/>
                              <w:b w:val="1"/>
                              <w:w w:val="100"/>
                              <w:position w:val="-1"/>
                              <w:sz w:val="20"/>
                              <w:szCs w:val="20"/>
                              <w:effect w:val="none"/>
                              <w:vertAlign w:val="baseline"/>
                              <w:cs w:val="0"/>
                              <w:em w:val="none"/>
                              <w:lang/>
                            </w:rPr>
                            <w:t>Poslovnica Osijek, Gundulićeva 32</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w w:val="100"/>
                              <w:position w:val="-1"/>
                              <w:sz w:val="18"/>
                              <w:szCs w:val="18"/>
                              <w:effect w:val="none"/>
                              <w:vertAlign w:val="baseline"/>
                              <w:cs w:val="0"/>
                              <w:em w:val="none"/>
                              <w:lang/>
                            </w:rPr>
                          </w:pPr>
                          <w:r w:rsidDel="000000-1" w:rsidR="000000-1" w:rsidRPr="000000-1">
                            <w:rPr>
                              <w:rFonts w:ascii="Tahoma" w:cs="Tahoma" w:hAnsi="Tahoma"/>
                              <w:w w:val="100"/>
                              <w:position w:val="-1"/>
                              <w:sz w:val="18"/>
                              <w:szCs w:val="18"/>
                              <w:effect w:val="none"/>
                              <w:vertAlign w:val="baseline"/>
                              <w:cs w:val="0"/>
                              <w:em w:val="none"/>
                              <w:lang/>
                            </w:rPr>
                            <w:t>tel: 031/215 353,  215 355,    Fax: 031/215 354    e-mail: info@ortran.hr</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w w:val="100"/>
                              <w:position w:val="-1"/>
                              <w:sz w:val="18"/>
                              <w:szCs w:val="18"/>
                              <w:effect w:val="none"/>
                              <w:vertAlign w:val="baseline"/>
                              <w:cs w:val="0"/>
                              <w:em w:val="none"/>
                              <w:lang/>
                            </w:rPr>
                          </w:pPr>
                          <w:r w:rsidDel="000000-1" w:rsidR="000000-1" w:rsidRPr="000000-1">
                            <w:rPr>
                              <w:rFonts w:ascii="Tahoma" w:cs="Tahoma" w:hAnsi="Tahoma"/>
                              <w:w w:val="100"/>
                              <w:position w:val="-1"/>
                              <w:sz w:val="18"/>
                              <w:szCs w:val="18"/>
                              <w:effect w:val="none"/>
                              <w:vertAlign w:val="baseline"/>
                              <w:cs w:val="0"/>
                              <w:em w:val="none"/>
                              <w:lang/>
                            </w:rPr>
                            <w:t>mob: 099/ 35 10 790    098/252 856</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Tahoma" w:cs="Tahoma" w:hAnsi="Tahoma"/>
                              <w:w w:val="100"/>
                              <w:position w:val="-1"/>
                              <w:sz w:val="18"/>
                              <w:szCs w:val="18"/>
                              <w:effect w:val="none"/>
                              <w:vertAlign w:val="baseline"/>
                              <w:cs w:val="0"/>
                              <w:em w:val="none"/>
                              <w:lang/>
                            </w:rPr>
                          </w:pPr>
                          <w:r w:rsidDel="000000-1" w:rsidR="000000-1" w:rsidRPr="000000-1">
                            <w:rPr>
                              <w:rFonts w:ascii="Tahoma" w:cs="Tahoma" w:hAnsi="Tahoma"/>
                              <w:w w:val="100"/>
                              <w:position w:val="-1"/>
                              <w:sz w:val="18"/>
                              <w:szCs w:val="18"/>
                              <w:effect w:val="none"/>
                              <w:vertAlign w:val="baseline"/>
                              <w:cs w:val="0"/>
                              <w:em w:val="none"/>
                              <w:lang/>
                            </w:rPr>
                            <w:t xml:space="preserve"> </w:t>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000-1"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1971675</wp:posOffset>
              </wp:positionH>
              <wp:positionV relativeFrom="paragraph">
                <wp:posOffset>102870</wp:posOffset>
              </wp:positionV>
              <wp:extent cx="4235450" cy="78867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235450" cy="7886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7" Type="http://schemas.openxmlformats.org/officeDocument/2006/relationships/footer" Target="footer1.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